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55792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2018:016931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55792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12.11.2020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55792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01267552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FD1A2D" w:rsidP="00FD1A2D">
      <w:pPr>
        <w:tabs>
          <w:tab w:val="left" w:pos="7293"/>
        </w:tabs>
        <w:ind w:firstLine="630"/>
        <w:rPr>
          <w:b/>
          <w:bCs/>
        </w:rPr>
      </w:pPr>
      <w:r>
        <w:rPr>
          <w:b/>
          <w:bCs/>
        </w:rPr>
        <w:tab/>
        <w:t>P.nr.107/18</w:t>
      </w:r>
    </w:p>
    <w:p w:rsidR="00FF5FCC" w:rsidRDefault="00FF5FCC" w:rsidP="00FD1A2D">
      <w:pPr>
        <w:tabs>
          <w:tab w:val="left" w:pos="7293"/>
        </w:tabs>
        <w:ind w:firstLine="630"/>
        <w:rPr>
          <w:b/>
          <w:bCs/>
        </w:rPr>
      </w:pPr>
    </w:p>
    <w:p w:rsidR="00FD1A2D" w:rsidRDefault="00FD1A2D" w:rsidP="00FD1A2D">
      <w:pPr>
        <w:tabs>
          <w:tab w:val="left" w:pos="7293"/>
        </w:tabs>
        <w:ind w:firstLine="630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</w:pPr>
      <w:r w:rsidRPr="00777090">
        <w:rPr>
          <w:b/>
          <w:bCs/>
        </w:rPr>
        <w:t>NË EMËR TË POPULLIT</w:t>
      </w:r>
    </w:p>
    <w:p w:rsidR="0095459A" w:rsidRPr="00777090" w:rsidRDefault="0095459A" w:rsidP="004738A7">
      <w:pPr>
        <w:ind w:firstLine="720"/>
        <w:jc w:val="both"/>
        <w:rPr>
          <w:b/>
        </w:rPr>
      </w:pPr>
    </w:p>
    <w:bookmarkStart w:id="0" w:name="_Hlk496703532"/>
    <w:p w:rsidR="00FF5FCC" w:rsidRDefault="0055792A" w:rsidP="00FF5FCC">
      <w:pPr>
        <w:pStyle w:val="Standard"/>
        <w:ind w:firstLine="630"/>
        <w:jc w:val="both"/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EndPr/>
        <w:sdtContent>
          <w:r w:rsidR="00196394" w:rsidRPr="00367CED">
            <w:rPr>
              <w:b/>
            </w:rPr>
            <w:t>GJYKATA THEMELORE PRIZREN</w:t>
          </w:r>
        </w:sdtContent>
      </w:sdt>
      <w:r w:rsidR="00FF5FCC">
        <w:rPr>
          <w:b/>
        </w:rPr>
        <w:t>-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EndPr/>
        <w:sdtContent>
          <w:r w:rsidR="00196394" w:rsidRPr="00367CED">
            <w:rPr>
              <w:b/>
            </w:rPr>
            <w:t>DEPARTAMENTI I PËRGJITHSHËM</w:t>
          </w:r>
        </w:sdtContent>
      </w:sdt>
      <w:r w:rsidR="00FF5FCC">
        <w:rPr>
          <w:b/>
        </w:rPr>
        <w:t>,</w:t>
      </w:r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EndPr/>
        <w:sdtContent>
          <w:r w:rsidR="00196394" w:rsidRPr="00367CED">
            <w:rPr>
              <w:b/>
            </w:rPr>
            <w:t>DIVIZIONI PENAL</w:t>
          </w:r>
        </w:sdtContent>
      </w:sdt>
      <w:r w:rsidR="00FF5FCC">
        <w:rPr>
          <w:b/>
        </w:rPr>
        <w:t>,</w:t>
      </w:r>
      <w:r w:rsidR="00196394">
        <w:t xml:space="preserve"> </w:t>
      </w:r>
      <w:bookmarkEnd w:id="0"/>
      <w:r w:rsidR="00FF5FCC">
        <w:t xml:space="preserve">gjyqtarja e vetme gjykuese Sadije Selmani, me procesmbajtësen Luljeta </w:t>
      </w:r>
      <w:proofErr w:type="spellStart"/>
      <w:r w:rsidR="00FF5FCC">
        <w:t>Luboteni</w:t>
      </w:r>
      <w:proofErr w:type="spellEnd"/>
      <w:r w:rsidR="00FF5FCC">
        <w:t xml:space="preserve">– sekretare juridike pranë kësaj gjykate, në lëndën </w:t>
      </w:r>
      <w:r w:rsidR="004740FA">
        <w:t>penale kundër të akuzuarve D. A, nga ..., me nr.</w:t>
      </w:r>
      <w:r w:rsidR="001F4BF1">
        <w:t xml:space="preserve"> </w:t>
      </w:r>
      <w:bookmarkStart w:id="1" w:name="_GoBack"/>
      <w:bookmarkEnd w:id="1"/>
      <w:r w:rsidR="004740FA">
        <w:t xml:space="preserve">personal </w:t>
      </w:r>
      <w:r w:rsidR="00FF5FCC">
        <w:t>, për shkak të veprës penale lëndim i lehtë trupor nga neni 188 par.1 nënpar.1.4 të KPRK-s</w:t>
      </w:r>
      <w:r w:rsidR="004740FA">
        <w:t>ë dhe të akuzuarit V. H.</w:t>
      </w:r>
      <w:r w:rsidR="00FF5FCC" w:rsidRPr="00645E17">
        <w:t xml:space="preserve"> </w:t>
      </w:r>
      <w:r w:rsidR="004740FA">
        <w:t xml:space="preserve">nga P., me </w:t>
      </w:r>
      <w:proofErr w:type="spellStart"/>
      <w:r w:rsidR="004740FA">
        <w:t>nr.personal</w:t>
      </w:r>
      <w:proofErr w:type="spellEnd"/>
      <w:r w:rsidR="004740FA">
        <w:t xml:space="preserve"> .....</w:t>
      </w:r>
      <w:r w:rsidR="00FF5FCC">
        <w:t xml:space="preserve">, për shkak të veprës penale, sulmi nga neni 184 paragrafi 1 lidhur me nenin 31 të KPRK-së, të akuzuar sipas aktakuzës së Prokurorisë Themelore në Prizren-Departamenti i Përgjithshëm, PP/II.nr.2220-3/17 të datës 25.01.2018, pas mbajtjes së seancës publike të shqyrtimit fillestar, në prezencën e Prokurorit të Shtetit-Fatos </w:t>
      </w:r>
      <w:proofErr w:type="spellStart"/>
      <w:r w:rsidR="00FF5FCC">
        <w:t>Ajvazi</w:t>
      </w:r>
      <w:proofErr w:type="spellEnd"/>
      <w:r w:rsidR="00FF5FCC">
        <w:t xml:space="preserve"> dhe të akuzuarve, me datë 09.11.2020, mori dhe publikisht shpalli, ndërsa me dt.12.11.2020 përpiloi këtë:</w:t>
      </w:r>
    </w:p>
    <w:p w:rsidR="00FF5FCC" w:rsidRDefault="00FF5FCC" w:rsidP="00FF5FCC">
      <w:pPr>
        <w:pStyle w:val="Standard"/>
        <w:jc w:val="both"/>
      </w:pPr>
    </w:p>
    <w:p w:rsidR="00FF5FCC" w:rsidRDefault="00FF5FCC" w:rsidP="00FF5FCC">
      <w:pPr>
        <w:pStyle w:val="Standard"/>
      </w:pPr>
    </w:p>
    <w:p w:rsidR="00FF5FCC" w:rsidRPr="00A804A3" w:rsidRDefault="00FF5FCC" w:rsidP="003F464B">
      <w:pPr>
        <w:pStyle w:val="Heading1"/>
        <w:ind w:left="2880" w:firstLine="720"/>
      </w:pPr>
      <w:r w:rsidRPr="00FF5FCC">
        <w:rPr>
          <w:rFonts w:ascii="Times New Roman" w:hAnsi="Times New Roman" w:cs="Times New Roman"/>
          <w:color w:val="000000" w:themeColor="text1"/>
          <w:sz w:val="24"/>
          <w:szCs w:val="24"/>
        </w:rPr>
        <w:t>A K T GJ Y K I M</w:t>
      </w:r>
    </w:p>
    <w:p w:rsidR="00FF5FCC" w:rsidRPr="00DB6CA8" w:rsidRDefault="00FF5FCC" w:rsidP="00FF5FCC">
      <w:pPr>
        <w:pStyle w:val="Standard"/>
      </w:pPr>
    </w:p>
    <w:p w:rsidR="00FF5FCC" w:rsidRDefault="00FF5FCC" w:rsidP="00FF5FCC">
      <w:pPr>
        <w:pStyle w:val="Standard"/>
        <w:jc w:val="both"/>
      </w:pPr>
      <w:r>
        <w:tab/>
      </w:r>
      <w:r w:rsidRPr="00031D70">
        <w:rPr>
          <w:b/>
        </w:rPr>
        <w:t>Të</w:t>
      </w:r>
      <w:r>
        <w:rPr>
          <w:b/>
        </w:rPr>
        <w:t xml:space="preserve"> akuzuarit:</w:t>
      </w:r>
    </w:p>
    <w:p w:rsidR="00FF5FCC" w:rsidRDefault="00FF5FCC" w:rsidP="00FF5FCC">
      <w:pPr>
        <w:pStyle w:val="Standard"/>
        <w:jc w:val="both"/>
        <w:rPr>
          <w:b/>
        </w:rPr>
      </w:pPr>
    </w:p>
    <w:p w:rsidR="00FF5FCC" w:rsidRDefault="004740FA" w:rsidP="00FF5FCC">
      <w:pPr>
        <w:pStyle w:val="Standard"/>
        <w:ind w:firstLine="720"/>
        <w:jc w:val="both"/>
      </w:pPr>
      <w:r>
        <w:rPr>
          <w:b/>
        </w:rPr>
        <w:t>1. D. A.</w:t>
      </w:r>
      <w:r w:rsidR="00FF5FCC">
        <w:rPr>
          <w:b/>
        </w:rPr>
        <w:t xml:space="preserve">,  </w:t>
      </w:r>
      <w:r w:rsidR="00FF5FCC" w:rsidRPr="00360E05">
        <w:t xml:space="preserve">nga i ati </w:t>
      </w:r>
      <w:r>
        <w:t>A. dhe e ëma B., e vajzërisë T., i lindur me ...., në P..., ku edhe jeton në rrugën ......</w:t>
      </w:r>
      <w:r w:rsidR="00FF5FCC">
        <w:t>, ka të kryer shkollën e mesme, punëtor, i martuar, i gjendjes së mesme ekonomike, shqiptar, shtetas i Republikës së Kosovës.</w:t>
      </w:r>
    </w:p>
    <w:p w:rsidR="00FF5FCC" w:rsidRDefault="00FF5FCC" w:rsidP="00FF5FCC">
      <w:pPr>
        <w:pStyle w:val="Standard"/>
        <w:ind w:firstLine="720"/>
        <w:jc w:val="both"/>
      </w:pPr>
    </w:p>
    <w:p w:rsidR="00FF5FCC" w:rsidRDefault="00FF5FCC" w:rsidP="004740FA">
      <w:pPr>
        <w:pStyle w:val="Standard"/>
        <w:ind w:firstLine="720"/>
        <w:jc w:val="both"/>
      </w:pPr>
      <w:r w:rsidRPr="00360E05">
        <w:rPr>
          <w:b/>
        </w:rPr>
        <w:t>2.</w:t>
      </w:r>
      <w:r w:rsidR="004740FA">
        <w:rPr>
          <w:b/>
        </w:rPr>
        <w:t xml:space="preserve"> V. H</w:t>
      </w:r>
      <w:r>
        <w:rPr>
          <w:b/>
        </w:rPr>
        <w:t xml:space="preserve">, </w:t>
      </w:r>
      <w:r w:rsidRPr="00360E05">
        <w:t xml:space="preserve">nga i ati </w:t>
      </w:r>
      <w:r w:rsidR="004740FA">
        <w:t xml:space="preserve"> </w:t>
      </w:r>
      <w:proofErr w:type="spellStart"/>
      <w:r w:rsidR="004740FA">
        <w:t>G..dhe</w:t>
      </w:r>
      <w:proofErr w:type="spellEnd"/>
      <w:r w:rsidR="004740FA">
        <w:t xml:space="preserve"> e ëma G., e vajzërisë ....</w:t>
      </w:r>
      <w:r>
        <w:t>, i lindur me</w:t>
      </w:r>
      <w:r w:rsidR="004740FA">
        <w:t>......</w:t>
      </w:r>
      <w:r>
        <w:t>, në Prizren, ku e</w:t>
      </w:r>
      <w:r w:rsidR="004740FA">
        <w:t>dhe jeton në rrugën .......</w:t>
      </w:r>
      <w:r>
        <w:t>, ka të kryer shkollën e mesme, punëtor, i pa martuar, i gjendjes së mesme ekonomike, shqiptar, shtetas i Republikës së Kosovës.</w:t>
      </w:r>
    </w:p>
    <w:p w:rsidR="00FF5FCC" w:rsidRDefault="00FF5FCC" w:rsidP="00FF5FCC">
      <w:pPr>
        <w:pStyle w:val="Standard"/>
        <w:ind w:firstLine="720"/>
        <w:jc w:val="both"/>
      </w:pPr>
    </w:p>
    <w:p w:rsidR="00FF5FCC" w:rsidRPr="00360E05" w:rsidRDefault="00FF5FCC" w:rsidP="00FF5FCC">
      <w:pPr>
        <w:pStyle w:val="Standard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360E05">
        <w:tab/>
      </w:r>
      <w:r w:rsidRPr="00360E05">
        <w:tab/>
      </w:r>
    </w:p>
    <w:p w:rsidR="00FF5FCC" w:rsidRDefault="00FF5FCC" w:rsidP="00FF5FCC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JANË  FAJTORË</w:t>
      </w:r>
    </w:p>
    <w:p w:rsidR="00FF5FCC" w:rsidRDefault="00FF5FCC" w:rsidP="00FF5FCC">
      <w:pPr>
        <w:pStyle w:val="Standard"/>
        <w:rPr>
          <w:b/>
          <w:bCs/>
        </w:rPr>
      </w:pPr>
    </w:p>
    <w:p w:rsidR="00FF5FCC" w:rsidRDefault="004740FA" w:rsidP="003F464B">
      <w:pPr>
        <w:pStyle w:val="Standard"/>
        <w:ind w:firstLine="720"/>
        <w:rPr>
          <w:b/>
          <w:bCs/>
        </w:rPr>
      </w:pPr>
      <w:r>
        <w:rPr>
          <w:b/>
          <w:bCs/>
        </w:rPr>
        <w:t>I akuzuari D. A.</w:t>
      </w:r>
      <w:r w:rsidR="00FF5FCC">
        <w:rPr>
          <w:b/>
          <w:bCs/>
        </w:rPr>
        <w:t>,</w:t>
      </w:r>
    </w:p>
    <w:p w:rsidR="00FF5FCC" w:rsidRDefault="00FF5FCC" w:rsidP="00FF5FCC">
      <w:pPr>
        <w:pStyle w:val="Standard"/>
        <w:ind w:left="2880" w:firstLine="720"/>
        <w:rPr>
          <w:b/>
          <w:bCs/>
        </w:rPr>
      </w:pPr>
    </w:p>
    <w:p w:rsidR="00FF5FCC" w:rsidRDefault="004740FA" w:rsidP="00FF5FCC">
      <w:pPr>
        <w:pStyle w:val="Textbody"/>
        <w:ind w:firstLine="720"/>
      </w:pPr>
      <w:r>
        <w:rPr>
          <w:bCs/>
        </w:rPr>
        <w:t>I. Se me datë ......, rreth orës .....</w:t>
      </w:r>
      <w:r w:rsidR="00FF5FCC">
        <w:rPr>
          <w:bCs/>
        </w:rPr>
        <w:t xml:space="preserve"> minuta,</w:t>
      </w:r>
      <w:r>
        <w:rPr>
          <w:bCs/>
        </w:rPr>
        <w:t xml:space="preserve"> në Prizren, në rr.”....”, te lokali “...</w:t>
      </w:r>
      <w:r w:rsidR="00FF5FCC">
        <w:rPr>
          <w:bCs/>
        </w:rPr>
        <w:t>”, i shkakton lëndime tr</w:t>
      </w:r>
      <w:r>
        <w:rPr>
          <w:bCs/>
        </w:rPr>
        <w:t>upore të dëmtuarit V. H.</w:t>
      </w:r>
      <w:r w:rsidR="00FF5FCC">
        <w:rPr>
          <w:bCs/>
        </w:rPr>
        <w:t xml:space="preserve">, </w:t>
      </w:r>
      <w:r w:rsidR="00FF5FCC">
        <w:t>në atë m</w:t>
      </w:r>
      <w:r>
        <w:t>ënyrë që derisa i akuzuari D. A</w:t>
      </w:r>
      <w:r w:rsidR="00FF5FCC">
        <w:t>, kishte qenë duke qëndruar me disa shok</w:t>
      </w:r>
      <w:r>
        <w:t xml:space="preserve">ë në tavolinë në lokalin “...”, hyn i dëmtuari V. H </w:t>
      </w:r>
      <w:r w:rsidR="00FF5FCC">
        <w:t>në lokal duke e prekur në krah të akuzuarin, i akuzuari del jashtë lokalit k</w:t>
      </w:r>
      <w:r>
        <w:t>ërkon sqarim nga i dëmtuari V. H.</w:t>
      </w:r>
      <w:r w:rsidR="00FF5FCC">
        <w:t xml:space="preserve">, fillojnë të fjalosen e më pas e godet me </w:t>
      </w:r>
      <w:proofErr w:type="spellStart"/>
      <w:r w:rsidR="00FF5FCC">
        <w:t>grushta</w:t>
      </w:r>
      <w:proofErr w:type="spellEnd"/>
      <w:r w:rsidR="00FF5FCC">
        <w:t xml:space="preserve"> në pjesë të ndryshme të trupit, duke i shkaktuar lëndime të lehta trupore dhe </w:t>
      </w:r>
      <w:proofErr w:type="spellStart"/>
      <w:r w:rsidR="00FF5FCC">
        <w:t>ate</w:t>
      </w:r>
      <w:proofErr w:type="spellEnd"/>
      <w:r w:rsidR="00FF5FCC">
        <w:t xml:space="preserve">: </w:t>
      </w:r>
      <w:proofErr w:type="spellStart"/>
      <w:r w:rsidR="00FF5FCC">
        <w:t>kontuzion</w:t>
      </w:r>
      <w:proofErr w:type="spellEnd"/>
      <w:r w:rsidR="00FF5FCC">
        <w:t xml:space="preserve"> në regjionin e kokës, në fytyrë dhe </w:t>
      </w:r>
      <w:proofErr w:type="spellStart"/>
      <w:r w:rsidR="00FF5FCC">
        <w:t>hund</w:t>
      </w:r>
      <w:proofErr w:type="spellEnd"/>
      <w:r w:rsidR="00FF5FCC">
        <w:t xml:space="preserve"> si dhe thyerjen e </w:t>
      </w:r>
      <w:r w:rsidR="00FF5FCC">
        <w:lastRenderedPageBreak/>
        <w:t xml:space="preserve">eshtrave të hundës, lëndime këto të konstatuara në ekspertizën mjeko ligjore të </w:t>
      </w:r>
      <w:proofErr w:type="spellStart"/>
      <w:r w:rsidR="00FF5FCC">
        <w:t>Dr.Naim</w:t>
      </w:r>
      <w:proofErr w:type="spellEnd"/>
      <w:r w:rsidR="00FF5FCC">
        <w:t xml:space="preserve"> </w:t>
      </w:r>
      <w:proofErr w:type="spellStart"/>
      <w:r w:rsidR="00FF5FCC">
        <w:t>Haliti</w:t>
      </w:r>
      <w:proofErr w:type="spellEnd"/>
      <w:r w:rsidR="00FF5FCC">
        <w:t xml:space="preserve"> të dt.25.10.2017.</w:t>
      </w:r>
    </w:p>
    <w:p w:rsidR="00FF5FCC" w:rsidRDefault="00FF5FCC" w:rsidP="00FF5FCC">
      <w:pPr>
        <w:pStyle w:val="Textbody"/>
        <w:ind w:firstLine="720"/>
        <w:rPr>
          <w:bCs/>
        </w:rPr>
      </w:pPr>
    </w:p>
    <w:p w:rsidR="00FF5FCC" w:rsidRDefault="00FF5FCC" w:rsidP="00FF5FCC">
      <w:pPr>
        <w:pStyle w:val="Textbody"/>
        <w:ind w:firstLine="720"/>
      </w:pPr>
      <w:r w:rsidRPr="00A20932">
        <w:rPr>
          <w:b/>
        </w:rPr>
        <w:t>Këso dore ka kryer veprën penale</w:t>
      </w:r>
      <w:r>
        <w:rPr>
          <w:b/>
        </w:rPr>
        <w:t xml:space="preserve">, </w:t>
      </w:r>
      <w:r w:rsidRPr="006075C2">
        <w:rPr>
          <w:b/>
        </w:rPr>
        <w:t>lëndim i lehtë trupor nga neni 188 par.1 nënpar.1.4 të KPRK-së</w:t>
      </w:r>
      <w:r>
        <w:rPr>
          <w:b/>
        </w:rPr>
        <w:t>.</w:t>
      </w:r>
    </w:p>
    <w:p w:rsidR="00FF5FCC" w:rsidRDefault="00FF5FCC" w:rsidP="00FF5FCC">
      <w:pPr>
        <w:pStyle w:val="Textbody"/>
        <w:ind w:firstLine="720"/>
      </w:pPr>
    </w:p>
    <w:p w:rsidR="00FF5FCC" w:rsidRDefault="00FF5FCC" w:rsidP="00FF5FCC">
      <w:pPr>
        <w:pStyle w:val="Textbody"/>
        <w:ind w:firstLine="720"/>
        <w:rPr>
          <w:b/>
        </w:rPr>
      </w:pPr>
    </w:p>
    <w:p w:rsidR="00FF5FCC" w:rsidRDefault="00FF5FCC" w:rsidP="00FF5FCC">
      <w:pPr>
        <w:pStyle w:val="Textbody"/>
        <w:ind w:firstLine="720"/>
      </w:pPr>
      <w:r w:rsidRPr="004E09CC">
        <w:rPr>
          <w:b/>
        </w:rPr>
        <w:t xml:space="preserve">I akuzuari </w:t>
      </w:r>
      <w:r w:rsidR="004740FA">
        <w:rPr>
          <w:b/>
        </w:rPr>
        <w:t>V. H.</w:t>
      </w:r>
      <w:r>
        <w:rPr>
          <w:b/>
        </w:rPr>
        <w:t>,</w:t>
      </w:r>
    </w:p>
    <w:p w:rsidR="00FF5FCC" w:rsidRDefault="00FF5FCC" w:rsidP="00FF5FCC">
      <w:pPr>
        <w:pStyle w:val="Textbody"/>
        <w:ind w:firstLine="720"/>
      </w:pPr>
    </w:p>
    <w:p w:rsidR="00FF5FCC" w:rsidRDefault="00FF5FCC" w:rsidP="00FF5FCC">
      <w:pPr>
        <w:pStyle w:val="Standard"/>
        <w:ind w:firstLine="720"/>
        <w:jc w:val="both"/>
      </w:pPr>
      <w:r>
        <w:t xml:space="preserve">II. Se me datë, kohë dhe vend të njëjtë të përshkruar si në si në </w:t>
      </w:r>
      <w:proofErr w:type="spellStart"/>
      <w:r>
        <w:t>dispozitiv</w:t>
      </w:r>
      <w:proofErr w:type="spellEnd"/>
      <w:r>
        <w:t xml:space="preserve"> të parë të aktakuzës, me dashje përdorin forc</w:t>
      </w:r>
      <w:r w:rsidR="004740FA">
        <w:t>ën ndaj të dëmtuarit D. A.</w:t>
      </w:r>
      <w:r>
        <w:t xml:space="preserve">, për shkak të mosmarrëveshjeve të përshkruara si në </w:t>
      </w:r>
      <w:proofErr w:type="spellStart"/>
      <w:r>
        <w:t>dispozitivin</w:t>
      </w:r>
      <w:proofErr w:type="spellEnd"/>
      <w:r>
        <w:t xml:space="preserve"> e parë, e sulmojnë me </w:t>
      </w:r>
      <w:proofErr w:type="spellStart"/>
      <w:r>
        <w:t>grushta</w:t>
      </w:r>
      <w:proofErr w:type="spellEnd"/>
      <w:r>
        <w:t xml:space="preserve"> të dëmtuarin pa dashjen e tij. </w:t>
      </w:r>
    </w:p>
    <w:p w:rsidR="00FF5FCC" w:rsidRDefault="00FF5FCC" w:rsidP="00FF5FCC">
      <w:pPr>
        <w:pStyle w:val="Standard"/>
        <w:ind w:firstLine="720"/>
        <w:jc w:val="both"/>
      </w:pPr>
    </w:p>
    <w:p w:rsidR="00FF5FCC" w:rsidRDefault="00FF5FCC" w:rsidP="00FF5FCC">
      <w:pPr>
        <w:pStyle w:val="Standard"/>
        <w:ind w:firstLine="720"/>
        <w:jc w:val="both"/>
        <w:rPr>
          <w:b/>
        </w:rPr>
      </w:pPr>
      <w:r w:rsidRPr="00A20932">
        <w:rPr>
          <w:b/>
        </w:rPr>
        <w:t>Këso dore ka kryer veprën penale</w:t>
      </w:r>
      <w:r>
        <w:rPr>
          <w:b/>
        </w:rPr>
        <w:t xml:space="preserve">, sulm nga neni 184 par.1 </w:t>
      </w:r>
      <w:r w:rsidRPr="00777EA7">
        <w:rPr>
          <w:b/>
        </w:rPr>
        <w:t>lidhur me nenin 31</w:t>
      </w:r>
      <w:r>
        <w:t xml:space="preserve"> </w:t>
      </w:r>
      <w:r>
        <w:rPr>
          <w:b/>
        </w:rPr>
        <w:t>të</w:t>
      </w:r>
      <w:r w:rsidRPr="00272ABD">
        <w:rPr>
          <w:b/>
        </w:rPr>
        <w:t xml:space="preserve"> KPRK-së</w:t>
      </w:r>
      <w:r w:rsidRPr="00A20932">
        <w:rPr>
          <w:b/>
        </w:rPr>
        <w:t xml:space="preserve">. </w:t>
      </w:r>
    </w:p>
    <w:p w:rsidR="00FF5FCC" w:rsidRDefault="00FF5FCC" w:rsidP="00FF5FCC">
      <w:pPr>
        <w:pStyle w:val="Textbody"/>
        <w:ind w:firstLine="720"/>
      </w:pPr>
    </w:p>
    <w:p w:rsidR="00FF5FCC" w:rsidRDefault="00FF5FCC" w:rsidP="00FF5FCC">
      <w:pPr>
        <w:ind w:firstLine="720"/>
        <w:jc w:val="both"/>
      </w:pPr>
      <w:r>
        <w:t>Andaj gjykata në kuptim të neneve të lartshënuara dhe neneve 4, 6, 7,17, 38, 39, 40, 43, 69 të KPRK-së, si dhe nenit 365 të KPPRK-së, të akuzuarve u shqipton:</w:t>
      </w:r>
    </w:p>
    <w:p w:rsidR="00FF5FCC" w:rsidRDefault="00FF5FCC" w:rsidP="00FF5FCC">
      <w:pPr>
        <w:pStyle w:val="Textbody"/>
        <w:ind w:firstLine="720"/>
      </w:pPr>
    </w:p>
    <w:p w:rsidR="00FF5FCC" w:rsidRDefault="00FF5FCC" w:rsidP="00FF5FCC">
      <w:pPr>
        <w:ind w:firstLine="720"/>
        <w:jc w:val="both"/>
        <w:rPr>
          <w:b/>
        </w:rPr>
      </w:pPr>
      <w:r w:rsidRPr="009A2F0F">
        <w:rPr>
          <w:b/>
        </w:rPr>
        <w:t xml:space="preserve">Të akuzuarit </w:t>
      </w:r>
      <w:r w:rsidR="004740FA">
        <w:rPr>
          <w:b/>
        </w:rPr>
        <w:t>D. A</w:t>
      </w:r>
      <w:r>
        <w:rPr>
          <w:b/>
        </w:rPr>
        <w:t>,</w:t>
      </w:r>
    </w:p>
    <w:p w:rsidR="00FF5FCC" w:rsidRDefault="00FF5FCC" w:rsidP="00FF5FCC">
      <w:pPr>
        <w:ind w:firstLine="720"/>
        <w:jc w:val="both"/>
        <w:rPr>
          <w:b/>
        </w:rPr>
      </w:pPr>
    </w:p>
    <w:p w:rsidR="00FF5FCC" w:rsidRDefault="00FF5FCC" w:rsidP="00FF5FCC">
      <w:pPr>
        <w:ind w:firstLine="720"/>
        <w:jc w:val="both"/>
      </w:pPr>
      <w:r>
        <w:t xml:space="preserve">- Dënimin me gjobë në shumë prej </w:t>
      </w:r>
      <w:r w:rsidRPr="00771E46">
        <w:rPr>
          <w:b/>
        </w:rPr>
        <w:t xml:space="preserve">250 </w:t>
      </w:r>
      <w:r>
        <w:rPr>
          <w:b/>
        </w:rPr>
        <w:t>€ (</w:t>
      </w:r>
      <w:proofErr w:type="spellStart"/>
      <w:r>
        <w:rPr>
          <w:b/>
        </w:rPr>
        <w:t>dyqindë</w:t>
      </w:r>
      <w:proofErr w:type="spellEnd"/>
      <w:r>
        <w:rPr>
          <w:b/>
        </w:rPr>
        <w:t xml:space="preserve"> e pesëdhjetë euro), </w:t>
      </w:r>
      <w:r>
        <w:t xml:space="preserve">të cilën shumë i akuzuari duhet ta paguaj në afat prej 15 ditëve nga dita e plotfuqishmërisë së këtij aktgjykimi, e nëse i akuzuari nuk dëshiron ose nuk mund ta paguajë dënimin me gjobë, i njëjti do të zëvendësohet me dënim burgu duke llogaritur 20 € për një ditë burgim, përkatësisht 12 (dymbëdhjetë) ditë burgim, për veprën penale nën </w:t>
      </w:r>
      <w:r w:rsidRPr="000E7A63">
        <w:rPr>
          <w:b/>
        </w:rPr>
        <w:t>I.</w:t>
      </w:r>
      <w:r>
        <w:t xml:space="preserve"> të </w:t>
      </w:r>
      <w:proofErr w:type="spellStart"/>
      <w:r>
        <w:t>dispozitivit</w:t>
      </w:r>
      <w:proofErr w:type="spellEnd"/>
      <w:r>
        <w:t>.</w:t>
      </w:r>
    </w:p>
    <w:p w:rsidR="00FF5FCC" w:rsidRDefault="00FF5FCC" w:rsidP="00FF5FCC">
      <w:pPr>
        <w:ind w:firstLine="720"/>
        <w:jc w:val="both"/>
        <w:rPr>
          <w:b/>
        </w:rPr>
      </w:pPr>
    </w:p>
    <w:p w:rsidR="00FF5FCC" w:rsidRDefault="00FF5FCC" w:rsidP="00FF5FCC">
      <w:pPr>
        <w:ind w:firstLine="720"/>
        <w:jc w:val="both"/>
      </w:pPr>
    </w:p>
    <w:p w:rsidR="00FF5FCC" w:rsidRDefault="004740FA" w:rsidP="00FF5FCC">
      <w:pPr>
        <w:ind w:firstLine="720"/>
        <w:jc w:val="both"/>
        <w:rPr>
          <w:b/>
        </w:rPr>
      </w:pPr>
      <w:r>
        <w:rPr>
          <w:b/>
        </w:rPr>
        <w:t>Të akuzuarit V. H</w:t>
      </w:r>
      <w:r w:rsidR="00FF5FCC">
        <w:rPr>
          <w:b/>
        </w:rPr>
        <w:t>,</w:t>
      </w:r>
    </w:p>
    <w:p w:rsidR="00FF5FCC" w:rsidRDefault="00FF5FCC" w:rsidP="00FF5FCC">
      <w:pPr>
        <w:ind w:firstLine="720"/>
        <w:jc w:val="both"/>
        <w:rPr>
          <w:b/>
        </w:rPr>
      </w:pPr>
    </w:p>
    <w:p w:rsidR="00FF5FCC" w:rsidRDefault="00FF5FCC" w:rsidP="00FF5FCC">
      <w:pPr>
        <w:ind w:firstLine="720"/>
        <w:jc w:val="both"/>
      </w:pPr>
      <w:r>
        <w:t xml:space="preserve">- Dënimin me gjobë në shumë prej </w:t>
      </w:r>
      <w:r>
        <w:rPr>
          <w:b/>
        </w:rPr>
        <w:t>150 € (</w:t>
      </w:r>
      <w:proofErr w:type="spellStart"/>
      <w:r>
        <w:rPr>
          <w:b/>
        </w:rPr>
        <w:t>njëqindë</w:t>
      </w:r>
      <w:proofErr w:type="spellEnd"/>
      <w:r>
        <w:rPr>
          <w:b/>
        </w:rPr>
        <w:t xml:space="preserve"> e pesëdhjetë euro), </w:t>
      </w:r>
      <w:r>
        <w:t xml:space="preserve">të cilën shumë i akuzuari duhet ta paguaj në afat prej 15 ditëve nga dita e plotfuqishmërisë së këtij aktgjykimi, e nëse i akuzuari nuk dëshiron ose nuk mund ta paguajë dënimin me gjobë, i njëjti do të zëvendësohet me dënim burgu duke llogaritur 20 € për një ditë burgim, përkatësisht 7 (shatë) ditë burgim, për veprën penale nën </w:t>
      </w:r>
      <w:r w:rsidRPr="000E7A63">
        <w:rPr>
          <w:b/>
        </w:rPr>
        <w:t>II</w:t>
      </w:r>
      <w:r>
        <w:t xml:space="preserve">. të </w:t>
      </w:r>
      <w:proofErr w:type="spellStart"/>
      <w:r>
        <w:t>dispozitivit</w:t>
      </w:r>
      <w:proofErr w:type="spellEnd"/>
      <w:r>
        <w:t>.</w:t>
      </w:r>
    </w:p>
    <w:p w:rsidR="00FF5FCC" w:rsidRPr="00FF5FCC" w:rsidRDefault="004740FA" w:rsidP="00FF5FCC">
      <w:pPr>
        <w:pStyle w:val="Heading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Të akuzuarit D. A dhe V. H.</w:t>
      </w:r>
      <w:r w:rsidR="00FF5FCC" w:rsidRPr="00FF5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obligohen që t'i paguajnë të gjitha shpenzimet e procedurës penale dhe </w:t>
      </w:r>
      <w:proofErr w:type="spellStart"/>
      <w:r w:rsidR="00FF5FCC" w:rsidRPr="00FF5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ate</w:t>
      </w:r>
      <w:proofErr w:type="spellEnd"/>
      <w:r w:rsidR="00FF5FCC" w:rsidRPr="00FF5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në emër të paushallit gjyqësor secili veç e veç shumën prej nga 20 euro, për </w:t>
      </w:r>
      <w:proofErr w:type="spellStart"/>
      <w:r w:rsidR="00FF5FCC" w:rsidRPr="00FF5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kompenzimin</w:t>
      </w:r>
      <w:proofErr w:type="spellEnd"/>
      <w:r w:rsidR="00FF5FCC" w:rsidRPr="00FF5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 viktimave të krimit secili shumën prej nga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 euro, ndërsa i akuzuari D.</w:t>
      </w:r>
      <w:r w:rsidR="00FF5FCC" w:rsidRPr="00FF5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në</w:t>
      </w:r>
      <w:r w:rsidR="00FF5FCC" w:rsidRPr="00FF5F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emër të ekspertizës mjeko ligjore duhet të paguaj edhe shumën prej 20 euro, të gjitha këto në afat prej 15 ditësh nga dita e plotfuqishmërisë së këtij aktgjykimi, nën kërcënimin e përmbarimit të dhunshëm.</w:t>
      </w:r>
    </w:p>
    <w:p w:rsidR="00FF5FCC" w:rsidRDefault="00FF5FCC" w:rsidP="00FF5FCC">
      <w:pPr>
        <w:pStyle w:val="Standard"/>
      </w:pPr>
    </w:p>
    <w:p w:rsidR="00FF5FCC" w:rsidRDefault="004740FA" w:rsidP="00FF5FCC">
      <w:pPr>
        <w:pStyle w:val="Standard"/>
        <w:jc w:val="both"/>
      </w:pPr>
      <w:r>
        <w:tab/>
        <w:t>Të dëmtuarit: D. A dhe V. H.</w:t>
      </w:r>
      <w:r w:rsidR="00FF5FCC">
        <w:t>, që të dy nga Prizreni, për realizimin e kërkesës pasurore-juridike udhëzohen në kontest civil.</w:t>
      </w:r>
    </w:p>
    <w:p w:rsidR="00546E50" w:rsidRDefault="00546E50" w:rsidP="00FF5FCC">
      <w:pPr>
        <w:pStyle w:val="Standard"/>
        <w:jc w:val="both"/>
      </w:pPr>
    </w:p>
    <w:p w:rsidR="00546E50" w:rsidRDefault="00546E50" w:rsidP="00FF5FCC">
      <w:pPr>
        <w:pStyle w:val="Standard"/>
        <w:jc w:val="both"/>
      </w:pPr>
    </w:p>
    <w:p w:rsidR="00FF5FCC" w:rsidRDefault="00FF5FCC" w:rsidP="00FF5FCC">
      <w:pPr>
        <w:pStyle w:val="Standard"/>
        <w:jc w:val="both"/>
      </w:pPr>
    </w:p>
    <w:p w:rsidR="00FF5FCC" w:rsidRDefault="00FF5FCC" w:rsidP="00FF5FCC">
      <w:pPr>
        <w:pStyle w:val="Standard"/>
        <w:jc w:val="center"/>
        <w:rPr>
          <w:b/>
        </w:rPr>
      </w:pPr>
    </w:p>
    <w:p w:rsidR="00FF5FCC" w:rsidRDefault="00FF5FCC" w:rsidP="00FF5FCC">
      <w:pPr>
        <w:pStyle w:val="Standard"/>
        <w:jc w:val="center"/>
        <w:rPr>
          <w:b/>
        </w:rPr>
      </w:pPr>
      <w:r>
        <w:rPr>
          <w:b/>
        </w:rPr>
        <w:t>A r s y e t i m</w:t>
      </w:r>
    </w:p>
    <w:p w:rsidR="00FF5FCC" w:rsidRDefault="00FF5FCC" w:rsidP="00FF5FCC">
      <w:pPr>
        <w:pStyle w:val="Standard"/>
        <w:jc w:val="both"/>
      </w:pPr>
    </w:p>
    <w:p w:rsidR="00FF5FCC" w:rsidRDefault="00FF5FCC" w:rsidP="00FF5FCC">
      <w:pPr>
        <w:pStyle w:val="Textbody"/>
      </w:pPr>
      <w:r>
        <w:lastRenderedPageBreak/>
        <w:tab/>
        <w:t>Prokuroria Themelore në Prizren-Departamenti i Përgjithshëm, ka paraqitur aktakuzën PP/II.nr.2220-3/17 të datës 25.01.</w:t>
      </w:r>
      <w:r w:rsidR="004740FA">
        <w:t>2018, kundër të akuzuarve D.A</w:t>
      </w:r>
      <w:r>
        <w:t xml:space="preserve"> nga Prizreni, për shkak të veprës penale lëndim i lehtë trupor nga neni 188 par.1 nënpar.1.4 të </w:t>
      </w:r>
      <w:r w:rsidR="004740FA">
        <w:t>KPRK-së dhe të akuzuarve F. H e V. H</w:t>
      </w:r>
      <w:r w:rsidRPr="00645E17">
        <w:t xml:space="preserve"> </w:t>
      </w:r>
      <w:r>
        <w:t xml:space="preserve">nga Prizreni, për shkak të veprës penale, sulmi nga neni 187 paragrafi 1 lidhur me nenin 31 të KPRK-së. </w:t>
      </w:r>
      <w:r w:rsidRPr="00E96D70">
        <w:t xml:space="preserve"> </w:t>
      </w:r>
    </w:p>
    <w:p w:rsidR="00FF5FCC" w:rsidRDefault="00FF5FCC" w:rsidP="00FF5FCC">
      <w:pPr>
        <w:pStyle w:val="Textbody"/>
      </w:pPr>
    </w:p>
    <w:p w:rsidR="00FF5FCC" w:rsidRDefault="00FF5FCC" w:rsidP="00FF5FCC">
      <w:pPr>
        <w:pStyle w:val="Textbody"/>
        <w:ind w:firstLine="720"/>
      </w:pPr>
      <w:r>
        <w:t>Me aktvendimin P.nr.107/18 të dt.09.11.2020, gjykata ka veçuar procedurën penale ndaj të akuz</w:t>
      </w:r>
      <w:r w:rsidR="004740FA">
        <w:t>uarit F. H</w:t>
      </w:r>
      <w:r>
        <w:t>, për shkak të veprës penale 187 par.1 lidhur me nenin 31 të KPK-së.</w:t>
      </w:r>
    </w:p>
    <w:p w:rsidR="00FF5FCC" w:rsidRDefault="00FF5FCC" w:rsidP="00FF5FCC">
      <w:pPr>
        <w:pStyle w:val="Textbody"/>
        <w:ind w:firstLine="720"/>
      </w:pPr>
    </w:p>
    <w:p w:rsidR="00FF5FCC" w:rsidRDefault="00FF5FCC" w:rsidP="00FF5FCC">
      <w:pPr>
        <w:pStyle w:val="Textbody"/>
        <w:ind w:firstLine="720"/>
      </w:pPr>
      <w:r>
        <w:t>Pas leximit të aktakuzës prokurori i shtetit ka bërë rikualifikimin  e veprës penale të sulmit nga neni 187 par.1 lidhur me nenin 31 të KPK-së sa i përket të akuzuari</w:t>
      </w:r>
      <w:r w:rsidR="004740FA">
        <w:t>t V.H</w:t>
      </w:r>
      <w:r>
        <w:t>, ashtu që duhet të jetë vepra penale sulm nga neni 184 par.1 lidhur me nenin 31 të KPRK-së, si ligj më i favorshëm për të akuzuarin.</w:t>
      </w:r>
    </w:p>
    <w:p w:rsidR="00FF5FCC" w:rsidRDefault="00FF5FCC" w:rsidP="00FF5FCC">
      <w:pPr>
        <w:pStyle w:val="Textbody"/>
      </w:pPr>
    </w:p>
    <w:p w:rsidR="00FF5FCC" w:rsidRDefault="004740FA" w:rsidP="00FF5FCC">
      <w:pPr>
        <w:ind w:firstLine="720"/>
        <w:jc w:val="both"/>
      </w:pPr>
      <w:r>
        <w:t>Të akuzuarit D. A dhe V. H</w:t>
      </w:r>
      <w:r w:rsidR="00FF5FCC">
        <w:t xml:space="preserve"> në shqyrtimin fillestar, kanë pranuar fajësinë për veprat penale të cilat u vihen në barrë sipas aktakuzës së PTH-së.</w:t>
      </w:r>
    </w:p>
    <w:p w:rsidR="00FF5FCC" w:rsidRDefault="00FF5FCC" w:rsidP="00FF5FCC">
      <w:pPr>
        <w:ind w:firstLine="720"/>
        <w:jc w:val="both"/>
      </w:pPr>
    </w:p>
    <w:p w:rsidR="00FF5FCC" w:rsidRDefault="00FF5FCC" w:rsidP="00FF5FCC">
      <w:pPr>
        <w:ind w:firstLine="720"/>
        <w:jc w:val="both"/>
      </w:pPr>
      <w:r>
        <w:t>Gjykata në shqyrtimin fillestar ka vërtetuar këtë gjendje faktike:</w:t>
      </w:r>
    </w:p>
    <w:p w:rsidR="00FF5FCC" w:rsidRDefault="00FF5FCC" w:rsidP="00FF5FCC">
      <w:pPr>
        <w:ind w:firstLine="720"/>
        <w:jc w:val="both"/>
      </w:pPr>
    </w:p>
    <w:p w:rsidR="00FF5FCC" w:rsidRDefault="00FF5FCC" w:rsidP="00FF5FCC">
      <w:pPr>
        <w:pStyle w:val="Textbody"/>
        <w:ind w:firstLine="720"/>
      </w:pPr>
      <w:r>
        <w:rPr>
          <w:bCs/>
        </w:rPr>
        <w:t>Në tërës</w:t>
      </w:r>
      <w:r w:rsidR="004740FA">
        <w:rPr>
          <w:bCs/>
        </w:rPr>
        <w:t>i u vërtetua se i akuzuari D. A</w:t>
      </w:r>
      <w:r>
        <w:rPr>
          <w:bCs/>
        </w:rPr>
        <w:t>, ditën kritike, me d</w:t>
      </w:r>
      <w:r w:rsidR="004740FA">
        <w:rPr>
          <w:bCs/>
        </w:rPr>
        <w:t>atë 13.08.2017, rreth orës ...</w:t>
      </w:r>
      <w:r>
        <w:rPr>
          <w:bCs/>
        </w:rPr>
        <w:t xml:space="preserve"> minuta, në Prizren, në rr.”</w:t>
      </w:r>
      <w:r w:rsidR="004740FA">
        <w:rPr>
          <w:bCs/>
        </w:rPr>
        <w:t>”, te lokali “</w:t>
      </w:r>
      <w:r>
        <w:rPr>
          <w:bCs/>
        </w:rPr>
        <w:t>”, i shkakton lë</w:t>
      </w:r>
      <w:r w:rsidR="004740FA">
        <w:rPr>
          <w:bCs/>
        </w:rPr>
        <w:t>ndime trupore të dëmtuarit V. H</w:t>
      </w:r>
      <w:r>
        <w:rPr>
          <w:bCs/>
        </w:rPr>
        <w:t xml:space="preserve">, </w:t>
      </w:r>
      <w:r>
        <w:t>në atë m</w:t>
      </w:r>
      <w:r w:rsidR="004740FA">
        <w:t>ënyrë që derisa i akuzuari D. A</w:t>
      </w:r>
      <w:r>
        <w:t>, kishte qenë duke qëndruar me disa shok</w:t>
      </w:r>
      <w:r w:rsidR="004740FA">
        <w:t>ë në tavolinë në lokalin “”, hyn i dëmtuari V. H.</w:t>
      </w:r>
      <w:r>
        <w:t xml:space="preserve"> në lokal duke e prekur në krah të akuzuarin, i akuzuari del jashtë lokalit kër</w:t>
      </w:r>
      <w:r w:rsidR="004740FA">
        <w:t>kon sqarim nga i dëmtuari V. H</w:t>
      </w:r>
      <w:r>
        <w:t xml:space="preserve">, fillojnë të fjalosen e më pas e godet me </w:t>
      </w:r>
      <w:proofErr w:type="spellStart"/>
      <w:r>
        <w:t>grushta</w:t>
      </w:r>
      <w:proofErr w:type="spellEnd"/>
      <w:r>
        <w:t xml:space="preserve"> në pjesë të ndryshme të trupit, duke i shkaktuar lëndime të lehta trupore dhe </w:t>
      </w:r>
      <w:proofErr w:type="spellStart"/>
      <w:r>
        <w:t>ate</w:t>
      </w:r>
      <w:proofErr w:type="spellEnd"/>
      <w:r>
        <w:t xml:space="preserve">: </w:t>
      </w:r>
      <w:proofErr w:type="spellStart"/>
      <w:r>
        <w:t>kontuzion</w:t>
      </w:r>
      <w:proofErr w:type="spellEnd"/>
      <w:r>
        <w:t xml:space="preserve"> në regjionin e kokës, në fytyrë dhe hundë si dhe thyerjen e eshtrave të hundës, lëndime këto të konstatuara në ekspertizën mjeko ligjore të </w:t>
      </w:r>
      <w:proofErr w:type="spellStart"/>
      <w:r>
        <w:t>Dr.Naim</w:t>
      </w:r>
      <w:proofErr w:type="spellEnd"/>
      <w:r>
        <w:t xml:space="preserve"> </w:t>
      </w:r>
      <w:proofErr w:type="spellStart"/>
      <w:r>
        <w:t>Haliti</w:t>
      </w:r>
      <w:proofErr w:type="spellEnd"/>
      <w:r>
        <w:t xml:space="preserve"> të dt.25.10.2017.</w:t>
      </w:r>
    </w:p>
    <w:p w:rsidR="00FF5FCC" w:rsidRDefault="00FF5FCC" w:rsidP="00FF5FCC">
      <w:pPr>
        <w:pStyle w:val="Textbody"/>
        <w:ind w:firstLine="720"/>
        <w:rPr>
          <w:bCs/>
        </w:rPr>
      </w:pPr>
    </w:p>
    <w:p w:rsidR="00FF5FCC" w:rsidRDefault="00FF5FCC" w:rsidP="00FF5FCC">
      <w:pPr>
        <w:pStyle w:val="Standard"/>
        <w:ind w:firstLine="720"/>
        <w:jc w:val="both"/>
      </w:pPr>
      <w:r>
        <w:t xml:space="preserve">Po ashtu në tërësi u vërtetua se i akuzuari </w:t>
      </w:r>
      <w:r w:rsidR="004740FA">
        <w:rPr>
          <w:bCs/>
        </w:rPr>
        <w:t>V. H.</w:t>
      </w:r>
      <w:r>
        <w:rPr>
          <w:bCs/>
        </w:rPr>
        <w:t>,</w:t>
      </w:r>
      <w:r>
        <w:t xml:space="preserve"> me datë, kohë dhe vend të njëjtë të përshkruar si në si në </w:t>
      </w:r>
      <w:proofErr w:type="spellStart"/>
      <w:r>
        <w:t>dispozitiv</w:t>
      </w:r>
      <w:proofErr w:type="spellEnd"/>
      <w:r>
        <w:t xml:space="preserve"> të parë të aktakuzës, me dashje përdori</w:t>
      </w:r>
      <w:r w:rsidR="001F4BF1">
        <w:t>n forcën ndaj të dëmtuarit D. A</w:t>
      </w:r>
      <w:r>
        <w:t xml:space="preserve">, për shkak të mosmarrëveshjeve të përshkruara si në </w:t>
      </w:r>
      <w:proofErr w:type="spellStart"/>
      <w:r>
        <w:t>dispozitivin</w:t>
      </w:r>
      <w:proofErr w:type="spellEnd"/>
      <w:r>
        <w:t xml:space="preserve"> e parë, e sulmojnë me </w:t>
      </w:r>
      <w:proofErr w:type="spellStart"/>
      <w:r>
        <w:t>grushta</w:t>
      </w:r>
      <w:proofErr w:type="spellEnd"/>
      <w:r>
        <w:t xml:space="preserve"> të dëmtuarin pa dashjen e tij.</w:t>
      </w:r>
    </w:p>
    <w:p w:rsidR="00FF5FCC" w:rsidRDefault="00FF5FCC" w:rsidP="00FF5FCC">
      <w:pPr>
        <w:pStyle w:val="Standard"/>
        <w:ind w:firstLine="720"/>
        <w:jc w:val="both"/>
        <w:rPr>
          <w:bCs/>
        </w:rPr>
      </w:pPr>
    </w:p>
    <w:p w:rsidR="00FF5FCC" w:rsidRDefault="00FF5FCC" w:rsidP="00FF5FCC">
      <w:pPr>
        <w:ind w:firstLine="720"/>
        <w:jc w:val="both"/>
      </w:pPr>
      <w:r>
        <w:t>Gjykata gjendjen e këtillë faktike për veprat penale të lartcekura e ka vërtetuar nga vet pranimi i</w:t>
      </w:r>
      <w:r w:rsidR="001F4BF1">
        <w:t xml:space="preserve"> fajësisë nga të akuzuarit D. A. dhe V. H.</w:t>
      </w:r>
      <w:r>
        <w:t>, të cilët në shqyrtimin fillestar vullnetarisht kanë pranuar fajësinë, për veprat penale për të cilat akuzohen</w:t>
      </w:r>
      <w:r w:rsidRPr="0048570B">
        <w:t xml:space="preserve"> </w:t>
      </w:r>
      <w:r>
        <w:t xml:space="preserve">andaj edhe gjykata nuk ka administruar provat. Gjykata sipas detyrës zyrtare nuk ka gjetur se ekziston ndonjë provë e pa pranueshme, po ashtu në tërësi është vërtetuar se të akuzuarit, kanë kuptuar natyrën dhe pasojat e pranimit të fajësisë për veprat penale të cilat u vihen në barrë dhe ky pranim është bërë pa kushtëzim dhe vullnetarisht nga ana e tyre, se pranimi i fajësisë mbështet në fakte dhe prova të çështjes që përmban aktakuza dhe se të akuzuarit prej fillimit të hetimeve e gjerë në këtë shqyrtim kanë qenë të njoftuar me të gjitha provat materiale, të cilat i ka paraqitur përfaqësuesi i aktakuzës dhe të cilat asnjëherë nuk i kanë kundërshtuar dhe se aktakuza nuk përmban asnjë shkelje të qartë ligjore ose gabime faktike.  </w:t>
      </w:r>
    </w:p>
    <w:p w:rsidR="00FF5FCC" w:rsidRDefault="00FF5FCC" w:rsidP="00FF5FCC">
      <w:pPr>
        <w:pStyle w:val="Textbody"/>
        <w:ind w:firstLine="720"/>
      </w:pPr>
    </w:p>
    <w:p w:rsidR="00FF5FCC" w:rsidRDefault="00FF5FCC" w:rsidP="00FF5FCC">
      <w:pPr>
        <w:pStyle w:val="Standard"/>
        <w:ind w:firstLine="720"/>
        <w:jc w:val="both"/>
      </w:pPr>
      <w:r>
        <w:t>Gjykata nga të cekurat më lartë ka ardhur në përfundim se në veprimet e të akuzuarve formohen të gjitha elementet e qenies së veprave penale të përshkruara si në shqiptim të këtij aktgjykimi dhe për këtë ka vendosur që të akuzuarit ti shpall fajtor dhe ti gjykoj në bazë të ligjit, e më parë duke vërtetuar përgjegjësinë penale juridike të tyre.</w:t>
      </w:r>
    </w:p>
    <w:p w:rsidR="00FF5FCC" w:rsidRDefault="00FF5FCC" w:rsidP="00FF5FCC">
      <w:pPr>
        <w:pStyle w:val="Standard"/>
        <w:ind w:firstLine="720"/>
        <w:jc w:val="both"/>
      </w:pPr>
    </w:p>
    <w:p w:rsidR="00FF5FCC" w:rsidRDefault="00FF5FCC" w:rsidP="00FF5FCC">
      <w:pPr>
        <w:pStyle w:val="Standard"/>
        <w:ind w:firstLine="720"/>
        <w:jc w:val="both"/>
      </w:pPr>
      <w:r>
        <w:t xml:space="preserve">Gjatë marrjes së vendimit mbi llojin dhe </w:t>
      </w:r>
      <w:proofErr w:type="spellStart"/>
      <w:r>
        <w:t>lartësin</w:t>
      </w:r>
      <w:proofErr w:type="spellEnd"/>
      <w:r>
        <w:t xml:space="preserve"> e dënimit,  gjykata ka vlerësuar të gjitha rrethanat lehtësuese dhe rënduese të parapara si në nenin 69 të KP-së të cilat ndikojnë në </w:t>
      </w:r>
      <w:r>
        <w:lastRenderedPageBreak/>
        <w:t>zgjedhjen e llojit dhe lartësisë së dënimit. Gjykata nuk gjeti ndonjë rrethanë posaçërisht rëndues</w:t>
      </w:r>
      <w:r w:rsidR="001F4BF1">
        <w:t>e sa u përket të akuzuarve D. A. dhe V. H.</w:t>
      </w:r>
      <w:r>
        <w:t>, ndërsa si rrethana lehtësuese gjykata ka vlerësuar pranimin e fajësisë nga ana e tyre, pendimin dhe premtimin se nuk do të kryejnë veprime kundërligjore në të ardhmen</w:t>
      </w:r>
      <w:r w:rsidRPr="007D2E40">
        <w:t xml:space="preserve"> </w:t>
      </w:r>
      <w:r>
        <w:t xml:space="preserve">si dhe faktin se raportet i kanë të rregulluara dhe nga dita kritike nuk kanë pasur probleme mes veti. Kështu që duke vlerësuar të gjitha këto rrethana gjykata ka ardhur në përfundim se </w:t>
      </w:r>
      <w:r w:rsidRPr="00EA2B1A">
        <w:rPr>
          <w:color w:val="000000"/>
        </w:rPr>
        <w:t>me dënim</w:t>
      </w:r>
      <w:r>
        <w:rPr>
          <w:color w:val="000000"/>
        </w:rPr>
        <w:t>et</w:t>
      </w:r>
      <w:r w:rsidRPr="00EA2B1A">
        <w:rPr>
          <w:color w:val="000000"/>
        </w:rPr>
        <w:t xml:space="preserve"> e shqiptuar</w:t>
      </w:r>
      <w:r>
        <w:rPr>
          <w:color w:val="000000"/>
        </w:rPr>
        <w:t>a</w:t>
      </w:r>
      <w:r w:rsidRPr="00EA2B1A">
        <w:rPr>
          <w:color w:val="000000"/>
        </w:rPr>
        <w:t xml:space="preserve"> është e pritshme të arrihet qëllimi i dënimit i paraparë në nenin  </w:t>
      </w:r>
      <w:r>
        <w:rPr>
          <w:color w:val="000000"/>
        </w:rPr>
        <w:t>38</w:t>
      </w:r>
      <w:r w:rsidRPr="00EA2B1A">
        <w:rPr>
          <w:color w:val="000000"/>
        </w:rPr>
        <w:t xml:space="preserve"> të KP</w:t>
      </w:r>
      <w:r>
        <w:rPr>
          <w:color w:val="000000"/>
        </w:rPr>
        <w:t>K</w:t>
      </w:r>
      <w:r w:rsidRPr="00EA2B1A">
        <w:rPr>
          <w:color w:val="000000"/>
        </w:rPr>
        <w:t>-së dhe se k</w:t>
      </w:r>
      <w:r>
        <w:rPr>
          <w:color w:val="000000"/>
        </w:rPr>
        <w:t>ëto</w:t>
      </w:r>
      <w:r w:rsidRPr="00EA2B1A">
        <w:rPr>
          <w:color w:val="000000"/>
        </w:rPr>
        <w:t xml:space="preserve"> dënim</w:t>
      </w:r>
      <w:r>
        <w:rPr>
          <w:color w:val="000000"/>
        </w:rPr>
        <w:t>e</w:t>
      </w:r>
      <w:r w:rsidRPr="00EA2B1A">
        <w:rPr>
          <w:color w:val="000000"/>
        </w:rPr>
        <w:t xml:space="preserve"> </w:t>
      </w:r>
      <w:r>
        <w:rPr>
          <w:color w:val="000000"/>
        </w:rPr>
        <w:t>janë</w:t>
      </w:r>
      <w:r w:rsidRPr="00EA2B1A">
        <w:rPr>
          <w:color w:val="000000"/>
        </w:rPr>
        <w:t xml:space="preserve"> në proporcion me peshën e vepr</w:t>
      </w:r>
      <w:r>
        <w:rPr>
          <w:color w:val="000000"/>
        </w:rPr>
        <w:t>ave</w:t>
      </w:r>
      <w:r w:rsidRPr="00EA2B1A">
        <w:rPr>
          <w:color w:val="000000"/>
        </w:rPr>
        <w:t xml:space="preserve"> penale, shkallën e përgjegjësisë penale, rrethanat dhe mënyrën e kryerjes si dhe personalitetin e të akuzuar</w:t>
      </w:r>
      <w:r>
        <w:rPr>
          <w:color w:val="000000"/>
        </w:rPr>
        <w:t>ve</w:t>
      </w:r>
      <w:r w:rsidRPr="00EA2B1A">
        <w:rPr>
          <w:color w:val="000000"/>
        </w:rPr>
        <w:t xml:space="preserve">, përkatësisht parandalimi i kryesit nga kryerja e veprave penale në të ardhmen dhe njëkohësisht parandalimi i personave tjerë nga kryerja e veprave penale, </w:t>
      </w:r>
      <w:r w:rsidRPr="00EA2B1A">
        <w:t xml:space="preserve">si dhe </w:t>
      </w:r>
      <w:r>
        <w:t xml:space="preserve">ky lloj dënimi </w:t>
      </w:r>
      <w:r w:rsidRPr="00EA2B1A">
        <w:t>do të ndikojnë në ngritjen e moralit dhe forcimin e detyrimit për respektimin e ligjit</w:t>
      </w:r>
      <w:r>
        <w:t xml:space="preserve">, </w:t>
      </w:r>
      <w:r>
        <w:rPr>
          <w:color w:val="000000"/>
        </w:rPr>
        <w:t xml:space="preserve">andaj </w:t>
      </w:r>
      <w:r w:rsidRPr="00EA2B1A">
        <w:rPr>
          <w:color w:val="000000"/>
        </w:rPr>
        <w:t>të akuzuari</w:t>
      </w:r>
      <w:r>
        <w:rPr>
          <w:color w:val="000000"/>
        </w:rPr>
        <w:t>t</w:t>
      </w:r>
      <w:r w:rsidRPr="00EA2B1A">
        <w:rPr>
          <w:color w:val="000000"/>
        </w:rPr>
        <w:t xml:space="preserve"> </w:t>
      </w:r>
      <w:r>
        <w:rPr>
          <w:color w:val="000000"/>
        </w:rPr>
        <w:t>i</w:t>
      </w:r>
      <w:r w:rsidRPr="00EA2B1A">
        <w:rPr>
          <w:color w:val="000000"/>
        </w:rPr>
        <w:t xml:space="preserve"> shpalli fajtor dhe </w:t>
      </w:r>
      <w:r>
        <w:rPr>
          <w:color w:val="000000"/>
        </w:rPr>
        <w:t>i</w:t>
      </w:r>
      <w:r w:rsidRPr="00EA2B1A">
        <w:rPr>
          <w:color w:val="000000"/>
        </w:rPr>
        <w:t xml:space="preserve"> gjyk</w:t>
      </w:r>
      <w:r>
        <w:rPr>
          <w:color w:val="000000"/>
        </w:rPr>
        <w:t>oi</w:t>
      </w:r>
      <w:r w:rsidRPr="00EA2B1A">
        <w:rPr>
          <w:color w:val="000000"/>
        </w:rPr>
        <w:t xml:space="preserve"> si në </w:t>
      </w:r>
      <w:proofErr w:type="spellStart"/>
      <w:r w:rsidRPr="00EA2B1A">
        <w:rPr>
          <w:color w:val="000000"/>
        </w:rPr>
        <w:t>dispozitiv</w:t>
      </w:r>
      <w:proofErr w:type="spellEnd"/>
      <w:r w:rsidRPr="00EA2B1A">
        <w:rPr>
          <w:color w:val="000000"/>
        </w:rPr>
        <w:t xml:space="preserve"> të aktgjykimi</w:t>
      </w:r>
      <w:r>
        <w:rPr>
          <w:color w:val="000000"/>
        </w:rPr>
        <w:t>t</w:t>
      </w:r>
      <w:r w:rsidRPr="00EA2B1A">
        <w:rPr>
          <w:color w:val="000000"/>
        </w:rPr>
        <w:t xml:space="preserve">. </w:t>
      </w:r>
      <w:r w:rsidRPr="00EA2B1A">
        <w:t xml:space="preserve"> </w:t>
      </w:r>
    </w:p>
    <w:p w:rsidR="00FF5FCC" w:rsidRDefault="00FF5FCC" w:rsidP="00FF5FCC">
      <w:pPr>
        <w:pStyle w:val="Standard"/>
        <w:ind w:firstLine="720"/>
        <w:jc w:val="both"/>
      </w:pPr>
    </w:p>
    <w:p w:rsidR="00FF5FCC" w:rsidRDefault="00FF5FCC" w:rsidP="005E154D">
      <w:pPr>
        <w:pStyle w:val="Standard"/>
        <w:ind w:firstLine="720"/>
        <w:jc w:val="both"/>
      </w:pPr>
      <w:r w:rsidRPr="0062374C">
        <w:t>Vendimi mbi kërkesën pasurore juridike ësh</w:t>
      </w:r>
      <w:r>
        <w:t xml:space="preserve">të marrë </w:t>
      </w:r>
      <w:proofErr w:type="spellStart"/>
      <w:r>
        <w:t>konfrom</w:t>
      </w:r>
      <w:proofErr w:type="spellEnd"/>
      <w:r>
        <w:t xml:space="preserve"> nenit 463 par.</w:t>
      </w:r>
      <w:r w:rsidRPr="0062374C">
        <w:t>2 të KPP</w:t>
      </w:r>
      <w:r>
        <w:t>RK</w:t>
      </w:r>
      <w:r w:rsidRPr="0062374C">
        <w:t>-së.</w:t>
      </w:r>
    </w:p>
    <w:p w:rsidR="005E154D" w:rsidRPr="003031D8" w:rsidRDefault="005E154D" w:rsidP="005E154D">
      <w:pPr>
        <w:pStyle w:val="Standard"/>
        <w:ind w:firstLine="720"/>
        <w:jc w:val="both"/>
      </w:pPr>
    </w:p>
    <w:p w:rsidR="00FF5FCC" w:rsidRDefault="00FF5FCC" w:rsidP="00FF5FCC">
      <w:pPr>
        <w:pStyle w:val="Standard"/>
        <w:jc w:val="both"/>
      </w:pPr>
      <w:r>
        <w:tab/>
      </w:r>
      <w:r w:rsidRPr="0062374C">
        <w:t>Vendimi mbi</w:t>
      </w:r>
      <w:r>
        <w:t xml:space="preserve"> shpenzimet e procedurës penale</w:t>
      </w:r>
      <w:r w:rsidRPr="0062374C">
        <w:t xml:space="preserve"> dhe paushallin gjyqësor është marrë </w:t>
      </w:r>
      <w:proofErr w:type="spellStart"/>
      <w:r w:rsidRPr="0062374C">
        <w:t>konform</w:t>
      </w:r>
      <w:proofErr w:type="spellEnd"/>
      <w:r w:rsidRPr="0062374C">
        <w:t xml:space="preserve"> nenit 450 dhe 453 par.1 të KPP</w:t>
      </w:r>
      <w:r>
        <w:t>RK</w:t>
      </w:r>
      <w:r w:rsidRPr="0062374C">
        <w:t>-së.</w:t>
      </w:r>
    </w:p>
    <w:p w:rsidR="00FF5FCC" w:rsidRDefault="00FF5FCC" w:rsidP="00FF5FCC">
      <w:pPr>
        <w:pStyle w:val="Standard"/>
        <w:jc w:val="both"/>
      </w:pPr>
    </w:p>
    <w:p w:rsidR="00FF5FCC" w:rsidRDefault="00FF5FCC" w:rsidP="00FF5FCC">
      <w:pPr>
        <w:ind w:firstLine="720"/>
        <w:jc w:val="both"/>
      </w:pPr>
      <w:r>
        <w:t xml:space="preserve">Vendimi për </w:t>
      </w:r>
      <w:proofErr w:type="spellStart"/>
      <w:r>
        <w:t>kompenzimin</w:t>
      </w:r>
      <w:proofErr w:type="spellEnd"/>
      <w:r>
        <w:t xml:space="preserve"> e viktimave të krimit është marrë në kuptim të nenit 39 parag.3 pika 1 të Ligjit nr.05/L-036.</w:t>
      </w:r>
    </w:p>
    <w:p w:rsidR="00FF5FCC" w:rsidRPr="0062374C" w:rsidRDefault="00FF5FCC" w:rsidP="00FF5FCC">
      <w:pPr>
        <w:ind w:firstLine="720"/>
        <w:jc w:val="both"/>
      </w:pPr>
      <w:r w:rsidRPr="0062374C">
        <w:tab/>
        <w:t xml:space="preserve"> </w:t>
      </w:r>
    </w:p>
    <w:p w:rsidR="00FF5FCC" w:rsidRDefault="00FF5FCC" w:rsidP="00FF5FCC">
      <w:pPr>
        <w:pStyle w:val="Standard"/>
        <w:jc w:val="both"/>
        <w:rPr>
          <w:b/>
          <w:bCs/>
        </w:rPr>
      </w:pPr>
      <w:r w:rsidRPr="0062374C">
        <w:tab/>
        <w:t xml:space="preserve">Me sa u tha më lartë u vendos si në </w:t>
      </w:r>
      <w:proofErr w:type="spellStart"/>
      <w:r w:rsidRPr="0062374C">
        <w:t>dispozitiv</w:t>
      </w:r>
      <w:proofErr w:type="spellEnd"/>
      <w:r w:rsidRPr="0062374C">
        <w:t xml:space="preserve"> të këtij aktgjykimi.</w:t>
      </w:r>
    </w:p>
    <w:p w:rsidR="00FF5FCC" w:rsidRDefault="00FF5FCC" w:rsidP="00FF5FCC">
      <w:pPr>
        <w:pStyle w:val="Standard"/>
        <w:jc w:val="center"/>
        <w:rPr>
          <w:b/>
          <w:bCs/>
        </w:rPr>
      </w:pPr>
    </w:p>
    <w:p w:rsidR="008B3689" w:rsidRDefault="008B3689" w:rsidP="00FF5FCC">
      <w:pPr>
        <w:pStyle w:val="Standard"/>
        <w:jc w:val="center"/>
        <w:rPr>
          <w:b/>
          <w:bCs/>
        </w:rPr>
      </w:pPr>
    </w:p>
    <w:p w:rsidR="008B3689" w:rsidRDefault="008B3689" w:rsidP="008B3689">
      <w:pPr>
        <w:rPr>
          <w:b/>
        </w:rPr>
      </w:pPr>
      <w:r>
        <w:rPr>
          <w:b/>
        </w:rPr>
        <w:t xml:space="preserve">                                            </w:t>
      </w:r>
      <w:sdt>
        <w:sdtPr>
          <w:rPr>
            <w:b/>
          </w:rPr>
          <w:alias w:val="EMRIGJYKATES"/>
          <w:tag w:val="court.nameOfCourt"/>
          <w:id w:val="-571733748"/>
          <w:placeholder>
            <w:docPart w:val="B7AC76314D674A178EBCD2B93E5F346F"/>
          </w:placeholder>
        </w:sdtPr>
        <w:sdtEndPr/>
        <w:sdtContent>
          <w:r>
            <w:rPr>
              <w:b/>
            </w:rPr>
            <w:t>GJYKATA THEMELORE PRIZREN</w:t>
          </w:r>
        </w:sdtContent>
      </w:sdt>
      <w:r w:rsidRPr="00217F35">
        <w:rPr>
          <w:b/>
        </w:rPr>
        <w:t xml:space="preserve"> </w:t>
      </w:r>
    </w:p>
    <w:p w:rsidR="008B3689" w:rsidRDefault="008B3689" w:rsidP="00D11A88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1807820976"/>
          <w:placeholder>
            <w:docPart w:val="B7AC76314D674A178EBCD2B93E5F346F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>
        <w:rPr>
          <w:b/>
        </w:rPr>
        <w:t xml:space="preserve">, </w:t>
      </w:r>
      <w:sdt>
        <w:sdtPr>
          <w:rPr>
            <w:b/>
          </w:rPr>
          <w:alias w:val="DIVIZIONI"/>
          <w:tag w:val="court.nameOfDivision"/>
          <w:id w:val="650262817"/>
          <w:placeholder>
            <w:docPart w:val="B7AC76314D674A178EBCD2B93E5F346F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8B3689" w:rsidRPr="00777090" w:rsidRDefault="008B3689" w:rsidP="00D11A88">
      <w:pPr>
        <w:jc w:val="center"/>
        <w:rPr>
          <w:b/>
        </w:rPr>
      </w:pPr>
    </w:p>
    <w:p w:rsidR="008B3689" w:rsidRPr="00777090" w:rsidRDefault="0055792A" w:rsidP="00D11A88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03269978"/>
          <w:placeholder>
            <w:docPart w:val="092E6E2809EC4955AF37A2324263703D"/>
          </w:placeholder>
          <w:text/>
        </w:sdtPr>
        <w:sdtEndPr/>
        <w:sdtContent>
          <w:r w:rsidR="008B3689" w:rsidRPr="006A7DB9">
            <w:rPr>
              <w:b/>
            </w:rPr>
            <w:t>2018:016931</w:t>
          </w:r>
        </w:sdtContent>
      </w:sdt>
      <w:r w:rsidR="008B3689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231702818"/>
          <w:lock w:val="contentLocked"/>
          <w:placeholder>
            <w:docPart w:val="0FE4B71EDA614A69B7C3536FC46DC861"/>
          </w:placeholder>
        </w:sdtPr>
        <w:sdtEndPr/>
        <w:sdtContent>
          <w:r w:rsidR="008B3689">
            <w:rPr>
              <w:b/>
            </w:rPr>
            <w:t>09.11.2020</w:t>
          </w:r>
        </w:sdtContent>
      </w:sdt>
    </w:p>
    <w:p w:rsidR="008B3689" w:rsidRDefault="008B3689" w:rsidP="008B3689">
      <w:pPr>
        <w:jc w:val="both"/>
        <w:rPr>
          <w:b/>
          <w:bCs/>
        </w:rPr>
      </w:pPr>
      <w:r w:rsidRPr="00777090">
        <w:rPr>
          <w:b/>
        </w:rPr>
        <w:t xml:space="preserve"> </w:t>
      </w:r>
    </w:p>
    <w:p w:rsidR="00FF5FCC" w:rsidRDefault="00FF5FCC" w:rsidP="00FF5FCC">
      <w:pPr>
        <w:pStyle w:val="Standard"/>
        <w:jc w:val="both"/>
        <w:rPr>
          <w:b/>
          <w:bCs/>
        </w:rPr>
      </w:pPr>
      <w:r>
        <w:rPr>
          <w:b/>
          <w:bCs/>
        </w:rPr>
        <w:t>Procesmbajtësja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Gjyqtarja e vetme gjykuese</w:t>
      </w:r>
    </w:p>
    <w:p w:rsidR="008B3689" w:rsidRDefault="00FF5FCC" w:rsidP="008B3689">
      <w:pPr>
        <w:pStyle w:val="Standard"/>
        <w:jc w:val="both"/>
      </w:pPr>
      <w:r w:rsidRPr="002F112F">
        <w:rPr>
          <w:b/>
          <w:bCs/>
        </w:rPr>
        <w:t xml:space="preserve">Luljeta </w:t>
      </w:r>
      <w:proofErr w:type="spellStart"/>
      <w:r w:rsidRPr="002F112F">
        <w:rPr>
          <w:b/>
          <w:bCs/>
        </w:rPr>
        <w:t>Luboteni</w:t>
      </w:r>
      <w:proofErr w:type="spellEnd"/>
      <w:r w:rsidRPr="002F112F">
        <w:rPr>
          <w:b/>
          <w:bCs/>
        </w:rPr>
        <w:t xml:space="preserve">    </w:t>
      </w:r>
      <w:r w:rsidRPr="002F112F">
        <w:rPr>
          <w:b/>
          <w:bCs/>
        </w:rPr>
        <w:tab/>
      </w:r>
      <w:r w:rsidRPr="002F112F">
        <w:rPr>
          <w:b/>
          <w:bCs/>
        </w:rPr>
        <w:tab/>
      </w:r>
      <w:r w:rsidRPr="002F112F">
        <w:rPr>
          <w:b/>
          <w:bCs/>
        </w:rPr>
        <w:tab/>
      </w:r>
      <w:r w:rsidRPr="002F112F">
        <w:rPr>
          <w:b/>
          <w:bCs/>
        </w:rPr>
        <w:tab/>
      </w:r>
      <w:r w:rsidRPr="002F112F">
        <w:rPr>
          <w:b/>
          <w:bCs/>
        </w:rPr>
        <w:tab/>
        <w:t xml:space="preserve">                       Sadije Selmani</w:t>
      </w:r>
    </w:p>
    <w:p w:rsidR="00FF5FCC" w:rsidRDefault="00FF5FCC" w:rsidP="00FF5FCC">
      <w:pPr>
        <w:pStyle w:val="Standard"/>
        <w:ind w:left="1620" w:hanging="1620"/>
        <w:jc w:val="both"/>
      </w:pPr>
      <w:r>
        <w:t xml:space="preserve"> </w:t>
      </w:r>
    </w:p>
    <w:p w:rsidR="0095459A" w:rsidRPr="00777090" w:rsidRDefault="0095459A" w:rsidP="0095459A">
      <w:pPr>
        <w:jc w:val="right"/>
      </w:pPr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sectPr w:rsidR="0095459A" w:rsidRPr="00777090" w:rsidSect="00FF5F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63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2A" w:rsidRDefault="0055792A" w:rsidP="004369F3">
      <w:r>
        <w:separator/>
      </w:r>
    </w:p>
  </w:endnote>
  <w:endnote w:type="continuationSeparator" w:id="0">
    <w:p w:rsidR="0055792A" w:rsidRDefault="0055792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2018:016932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2018:016932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F4BF1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F4BF1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2018:016932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2018:016932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F4BF1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F4BF1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2A" w:rsidRDefault="0055792A" w:rsidP="004369F3">
      <w:r>
        <w:separator/>
      </w:r>
    </w:p>
  </w:footnote>
  <w:footnote w:type="continuationSeparator" w:id="0">
    <w:p w:rsidR="0055792A" w:rsidRDefault="0055792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2018:016931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12.11.2020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01267552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7" name="Picture 7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55792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PRIZREN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24D0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37CA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1F4BF1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3FAF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464B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740FA"/>
    <w:rsid w:val="00492806"/>
    <w:rsid w:val="004A2BAB"/>
    <w:rsid w:val="004B0976"/>
    <w:rsid w:val="004B3D53"/>
    <w:rsid w:val="004C2D9C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46E50"/>
    <w:rsid w:val="0055792A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154D"/>
    <w:rsid w:val="005E51E0"/>
    <w:rsid w:val="005F0C47"/>
    <w:rsid w:val="00601DDF"/>
    <w:rsid w:val="006044B1"/>
    <w:rsid w:val="006065FE"/>
    <w:rsid w:val="00610935"/>
    <w:rsid w:val="00612D01"/>
    <w:rsid w:val="006131DA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97772"/>
    <w:rsid w:val="008B3471"/>
    <w:rsid w:val="008B3689"/>
    <w:rsid w:val="008C15D0"/>
    <w:rsid w:val="008C1A0D"/>
    <w:rsid w:val="008C3528"/>
    <w:rsid w:val="008C4D79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281C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3225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3E0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791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2512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D1A2D"/>
    <w:rsid w:val="00FE0640"/>
    <w:rsid w:val="00FF1847"/>
    <w:rsid w:val="00FF5F7F"/>
    <w:rsid w:val="00FF5FCC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9D12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Standard">
    <w:name w:val="Standard"/>
    <w:rsid w:val="00FF5FC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sq-AL" w:eastAsia="zh-CN"/>
    </w:rPr>
  </w:style>
  <w:style w:type="paragraph" w:customStyle="1" w:styleId="Textbody">
    <w:name w:val="Text body"/>
    <w:basedOn w:val="Standard"/>
    <w:rsid w:val="00FF5FC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7AC76314D674A178EBCD2B93E5F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1768-5D57-49A6-9CF9-7EF937DE1E7F}"/>
      </w:docPartPr>
      <w:docPartBody>
        <w:p w:rsidR="00647B42" w:rsidRDefault="00DC3ADA" w:rsidP="00DC3ADA">
          <w:pPr>
            <w:pStyle w:val="B7AC76314D674A178EBCD2B93E5F346F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092E6E2809EC4955AF37A2324263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D6F5-B82E-4FEF-8F24-74E061A89111}"/>
      </w:docPartPr>
      <w:docPartBody>
        <w:p w:rsidR="00647B42" w:rsidRDefault="00DC3ADA" w:rsidP="00DC3ADA">
          <w:pPr>
            <w:pStyle w:val="092E6E2809EC4955AF37A232426370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E4B71EDA614A69B7C3536FC46D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E13D-13D3-43B3-A5C5-53904F335C52}"/>
      </w:docPartPr>
      <w:docPartBody>
        <w:p w:rsidR="00647B42" w:rsidRDefault="00DC3ADA" w:rsidP="00DC3ADA">
          <w:pPr>
            <w:pStyle w:val="0FE4B71EDA614A69B7C3536FC46DC86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6705E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47B42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03A09"/>
    <w:rsid w:val="00A40529"/>
    <w:rsid w:val="00A43B3A"/>
    <w:rsid w:val="00A7150E"/>
    <w:rsid w:val="00A75FCC"/>
    <w:rsid w:val="00AA706A"/>
    <w:rsid w:val="00AB0715"/>
    <w:rsid w:val="00AB620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C3ADA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AD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B7AC76314D674A178EBCD2B93E5F346F">
    <w:name w:val="B7AC76314D674A178EBCD2B93E5F346F"/>
    <w:rsid w:val="00DC3ADA"/>
    <w:rPr>
      <w:lang w:val="en-US" w:eastAsia="en-US"/>
    </w:rPr>
  </w:style>
  <w:style w:type="paragraph" w:customStyle="1" w:styleId="092E6E2809EC4955AF37A2324263703D">
    <w:name w:val="092E6E2809EC4955AF37A2324263703D"/>
    <w:rsid w:val="00DC3ADA"/>
    <w:rPr>
      <w:lang w:val="en-US" w:eastAsia="en-US"/>
    </w:rPr>
  </w:style>
  <w:style w:type="paragraph" w:customStyle="1" w:styleId="0FE4B71EDA614A69B7C3536FC46DC861">
    <w:name w:val="0FE4B71EDA614A69B7C3536FC46DC861"/>
    <w:rsid w:val="00DC3AD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2669-B7DB-4542-A2A9-A3DB9956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Adem1 Krasniqi</cp:lastModifiedBy>
  <cp:revision>3</cp:revision>
  <cp:lastPrinted>2020-11-12T13:04:00Z</cp:lastPrinted>
  <dcterms:created xsi:type="dcterms:W3CDTF">2020-11-27T12:10:00Z</dcterms:created>
  <dcterms:modified xsi:type="dcterms:W3CDTF">2020-11-27T12:36:00Z</dcterms:modified>
</cp:coreProperties>
</file>